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right="-59" w:rightChars="-28"/>
        <w:jc w:val="left"/>
        <w:rPr>
          <w:rFonts w:ascii="宋体" w:hAnsi="宋体" w:cs="宋体"/>
        </w:rPr>
      </w:pPr>
      <w:r>
        <w:rPr>
          <w:rFonts w:hint="eastAsia" w:ascii="宋体" w:hAnsi="宋体" w:cs="宋体"/>
          <w:b/>
          <w:bCs/>
          <w:sz w:val="28"/>
          <w:szCs w:val="28"/>
        </w:rPr>
        <w:t xml:space="preserve"> 附件：</w:t>
      </w: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  <w:r>
        <w:rPr>
          <w:rFonts w:hint="eastAsia" w:ascii="宋体" w:hAnsi="宋体" w:cs="宋体"/>
          <w:b/>
          <w:bCs/>
          <w:color w:val="000000"/>
          <w:sz w:val="44"/>
          <w:szCs w:val="44"/>
        </w:rPr>
        <w:t>负压化成机</w:t>
      </w: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  <w:r>
        <w:rPr>
          <w:rFonts w:hint="eastAsia" w:ascii="宋体" w:hAnsi="宋体" w:cs="宋体"/>
          <w:b/>
          <w:bCs/>
          <w:color w:val="000000"/>
          <w:sz w:val="44"/>
          <w:szCs w:val="44"/>
        </w:rPr>
        <w:t>YK-32CH-5V30A</w:t>
      </w: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360" w:lineRule="auto"/>
        <w:ind w:left="496" w:leftChars="37" w:right="-59" w:rightChars="-28" w:hanging="418" w:hangingChars="80"/>
        <w:jc w:val="center"/>
        <w:outlineLvl w:val="0"/>
        <w:rPr>
          <w:rFonts w:hint="eastAsia"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技</w:t>
      </w:r>
    </w:p>
    <w:p>
      <w:pPr>
        <w:spacing w:line="360" w:lineRule="auto"/>
        <w:ind w:left="496" w:leftChars="37" w:right="-59" w:rightChars="-28" w:hanging="418" w:hangingChars="80"/>
        <w:jc w:val="center"/>
        <w:outlineLvl w:val="0"/>
        <w:rPr>
          <w:rFonts w:hint="eastAsia"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术</w:t>
      </w:r>
    </w:p>
    <w:p>
      <w:pPr>
        <w:spacing w:line="360" w:lineRule="auto"/>
        <w:ind w:left="496" w:leftChars="37" w:right="-59" w:rightChars="-28" w:hanging="418" w:hangingChars="80"/>
        <w:jc w:val="center"/>
        <w:outlineLvl w:val="0"/>
        <w:rPr>
          <w:rFonts w:hint="eastAsia"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协</w:t>
      </w:r>
    </w:p>
    <w:p>
      <w:pPr>
        <w:spacing w:line="360" w:lineRule="auto"/>
        <w:ind w:left="496" w:leftChars="37" w:right="-59" w:rightChars="-28" w:hanging="418" w:hangingChars="80"/>
        <w:jc w:val="center"/>
        <w:outlineLvl w:val="0"/>
        <w:rPr>
          <w:rFonts w:hint="eastAsia" w:ascii="宋体" w:hAnsi="宋体" w:cs="宋体"/>
          <w:b/>
          <w:bCs/>
          <w:sz w:val="52"/>
          <w:szCs w:val="52"/>
        </w:rPr>
      </w:pPr>
      <w:r>
        <w:rPr>
          <w:rFonts w:hint="eastAsia" w:ascii="宋体" w:hAnsi="宋体" w:cs="宋体"/>
          <w:b/>
          <w:bCs/>
          <w:sz w:val="52"/>
          <w:szCs w:val="52"/>
        </w:rPr>
        <w:t>议</w:t>
      </w:r>
    </w:p>
    <w:p>
      <w:pPr>
        <w:spacing w:line="360" w:lineRule="auto"/>
        <w:ind w:right="-59" w:rightChars="-28"/>
        <w:outlineLvl w:val="0"/>
        <w:rPr>
          <w:rFonts w:hint="eastAsia" w:ascii="宋体" w:hAnsi="宋体" w:cs="宋体"/>
          <w:bCs/>
          <w:color w:val="000000"/>
          <w:sz w:val="24"/>
          <w:szCs w:val="24"/>
        </w:rPr>
      </w:pPr>
    </w:p>
    <w:tbl>
      <w:tblPr>
        <w:tblStyle w:val="7"/>
        <w:tblpPr w:leftFromText="180" w:rightFromText="180" w:vertAnchor="text" w:horzAnchor="page" w:tblpX="3729" w:tblpY="97"/>
        <w:tblOverlap w:val="never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620" w:type="dxa"/>
            <w:noWrap w:val="0"/>
            <w:vAlign w:val="center"/>
          </w:tcPr>
          <w:p>
            <w:pPr>
              <w:spacing w:line="360" w:lineRule="auto"/>
              <w:ind w:right="-59" w:rightChars="-28"/>
              <w:jc w:val="left"/>
              <w:outlineLvl w:val="0"/>
              <w:rPr>
                <w:rFonts w:hint="eastAsia"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</w:rPr>
              <w:t>供方：东莞市</w:t>
            </w: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  <w:lang w:val="en-US" w:eastAsia="zh-CN"/>
              </w:rPr>
              <w:t>研科智能</w:t>
            </w: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</w:rPr>
              <w:t>科技有限公司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620" w:type="dxa"/>
            <w:noWrap w:val="0"/>
            <w:vAlign w:val="center"/>
          </w:tcPr>
          <w:p>
            <w:pPr>
              <w:spacing w:line="360" w:lineRule="auto"/>
              <w:ind w:right="-59" w:rightChars="-28"/>
              <w:jc w:val="left"/>
              <w:outlineLvl w:val="0"/>
              <w:rPr>
                <w:rFonts w:hint="default" w:ascii="宋体" w:hAnsi="宋体" w:cs="宋体"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</w:rPr>
              <w:t>地址：东莞市塘厦镇</w:t>
            </w: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  <w:lang w:val="en-US" w:eastAsia="zh-CN"/>
              </w:rPr>
              <w:t>古寮二路1号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620" w:type="dxa"/>
            <w:noWrap w:val="0"/>
            <w:vAlign w:val="center"/>
          </w:tcPr>
          <w:p>
            <w:pPr>
              <w:spacing w:line="360" w:lineRule="auto"/>
              <w:ind w:right="-59" w:rightChars="-28"/>
              <w:jc w:val="left"/>
              <w:outlineLvl w:val="0"/>
              <w:rPr>
                <w:rFonts w:hint="eastAsia"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</w:rPr>
              <w:t>联系人：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>吴立伟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620" w:type="dxa"/>
            <w:noWrap w:val="0"/>
            <w:vAlign w:val="center"/>
          </w:tcPr>
          <w:p>
            <w:pPr>
              <w:spacing w:line="360" w:lineRule="auto"/>
              <w:ind w:right="-59" w:rightChars="-28"/>
              <w:jc w:val="left"/>
              <w:outlineLvl w:val="0"/>
              <w:rPr>
                <w:rFonts w:hint="eastAsia" w:ascii="宋体" w:hAnsi="宋体" w:cs="宋体"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</w:rPr>
              <w:t>电话：</w:t>
            </w:r>
            <w:r>
              <w:rPr>
                <w:rFonts w:hint="eastAsia" w:ascii="宋体" w:hAnsi="宋体" w:cs="宋体"/>
                <w:bCs/>
                <w:sz w:val="28"/>
                <w:szCs w:val="28"/>
              </w:rPr>
              <w:t>13715220210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0" w:hRule="atLeast"/>
        </w:trPr>
        <w:tc>
          <w:tcPr>
            <w:tcW w:w="5620" w:type="dxa"/>
            <w:noWrap w:val="0"/>
            <w:vAlign w:val="center"/>
          </w:tcPr>
          <w:p>
            <w:pPr>
              <w:spacing w:line="360" w:lineRule="auto"/>
              <w:ind w:right="-59" w:rightChars="-28"/>
              <w:jc w:val="left"/>
              <w:outlineLvl w:val="0"/>
              <w:rPr>
                <w:rFonts w:hint="default" w:ascii="宋体" w:hAnsi="宋体" w:eastAsia="宋体" w:cs="宋体"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</w:rPr>
              <w:t>邮箱：</w:t>
            </w:r>
            <w:r>
              <w:rPr>
                <w:rFonts w:hint="eastAsia" w:ascii="宋体" w:hAnsi="宋体" w:cs="宋体"/>
                <w:bCs/>
                <w:color w:val="000000"/>
                <w:sz w:val="28"/>
                <w:szCs w:val="28"/>
                <w:lang w:val="en-US" w:eastAsia="zh-CN"/>
              </w:rPr>
              <w:t>wlw@dgykzn.com</w:t>
            </w:r>
          </w:p>
        </w:tc>
      </w:tr>
    </w:tbl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center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</w:p>
    <w:p>
      <w:pPr>
        <w:spacing w:line="600" w:lineRule="atLeast"/>
        <w:ind w:right="-59" w:rightChars="-28"/>
        <w:jc w:val="both"/>
        <w:outlineLvl w:val="0"/>
        <w:rPr>
          <w:rFonts w:hint="eastAsia" w:ascii="宋体" w:hAnsi="宋体" w:cs="宋体"/>
          <w:b/>
          <w:bCs/>
          <w:color w:val="000000"/>
          <w:sz w:val="44"/>
          <w:szCs w:val="44"/>
        </w:rPr>
      </w:pPr>
      <w:bookmarkStart w:id="2" w:name="_GoBack"/>
      <w:bookmarkEnd w:id="2"/>
    </w:p>
    <w:p>
      <w:pPr>
        <w:pStyle w:val="3"/>
        <w:adjustRightInd w:val="0"/>
        <w:jc w:val="left"/>
        <w:textAlignment w:val="baseline"/>
        <w:rPr>
          <w:rFonts w:hint="eastAsia"/>
          <w:color w:val="000000"/>
        </w:rPr>
      </w:pPr>
      <w:r>
        <w:rPr>
          <w:rFonts w:hint="eastAsia" w:ascii="宋体" w:hAnsi="宋体" w:cs="宋体"/>
          <w:color w:val="000000"/>
          <w:sz w:val="28"/>
          <w:szCs w:val="28"/>
          <w:lang w:eastAsia="zh-CN"/>
        </w:rPr>
        <w:t>一、</w:t>
      </w:r>
      <w:r>
        <w:rPr>
          <w:rFonts w:hint="eastAsia" w:ascii="宋体" w:hAnsi="宋体" w:cs="宋体"/>
          <w:color w:val="000000"/>
          <w:sz w:val="28"/>
          <w:szCs w:val="28"/>
        </w:rPr>
        <w:t>设备功能</w:t>
      </w:r>
    </w:p>
    <w:p>
      <w:pPr>
        <w:numPr>
          <w:ilvl w:val="0"/>
          <w:numId w:val="1"/>
        </w:numPr>
        <w:spacing w:line="400" w:lineRule="exact"/>
        <w:ind w:left="825" w:hanging="405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设备功能</w:t>
      </w:r>
      <w:r>
        <w:rPr>
          <w:rFonts w:hint="eastAsia" w:ascii="宋体" w:hAnsi="宋体" w:cs="宋体"/>
          <w:b/>
          <w:bCs/>
          <w:color w:val="000000"/>
          <w:sz w:val="24"/>
          <w:szCs w:val="24"/>
        </w:rPr>
        <w:t>：设备主要用于硬壳锂离子电池</w:t>
      </w:r>
      <w:r>
        <w:rPr>
          <w:rFonts w:hint="eastAsia" w:ascii="宋体" w:hAnsi="宋体" w:cs="宋体"/>
          <w:color w:val="000000"/>
          <w:sz w:val="24"/>
          <w:szCs w:val="24"/>
        </w:rPr>
        <w:t>负压（负10-负95）状态下进行化成，真空抽出电池化成中空气，同时缩短化成时间，缩减电池制作周期。</w:t>
      </w:r>
    </w:p>
    <w:p>
      <w:pPr>
        <w:numPr>
          <w:ilvl w:val="0"/>
          <w:numId w:val="1"/>
        </w:numPr>
        <w:spacing w:line="400" w:lineRule="exact"/>
        <w:ind w:left="825" w:hanging="405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本设备由1套化成电源柜（5V30A,32点位）、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套针床夹具组（</w:t>
      </w:r>
      <w:r>
        <w:rPr>
          <w:rFonts w:ascii="宋体" w:hAnsi="宋体" w:cs="宋体"/>
          <w:color w:val="000000"/>
          <w:sz w:val="24"/>
          <w:szCs w:val="24"/>
        </w:rPr>
        <w:t>16</w:t>
      </w:r>
      <w:r>
        <w:rPr>
          <w:rFonts w:hint="eastAsia" w:ascii="宋体" w:hAnsi="宋体" w:cs="宋体"/>
          <w:color w:val="000000"/>
          <w:sz w:val="24"/>
          <w:szCs w:val="24"/>
        </w:rPr>
        <w:t>点位/套）和1套负压真空系统（2层，每层2条直径32mm管道，分32点，每个单管道直径16mm，氟橡胶防腐吸盘）；（电源、夹具组分开放置）。</w:t>
      </w: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  <w:r>
        <w:rPr>
          <w:rFonts w:hint="eastAsia" w:ascii="宋体" w:hAnsi="宋体" w:cs="宋体"/>
          <w:color w:val="000000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165100</wp:posOffset>
            </wp:positionV>
            <wp:extent cx="2366645" cy="2468880"/>
            <wp:effectExtent l="0" t="0" r="14605" b="7620"/>
            <wp:wrapSquare wrapText="bothSides"/>
            <wp:docPr id="1" name="图片 38" descr="166945579046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8" descr="1669455790462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8"/>
        </w:rPr>
        <w:t xml:space="preserve">       </w:t>
      </w: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  <w:r>
        <w:rPr>
          <w:rFonts w:hint="eastAsia" w:ascii="宋体" w:hAnsi="宋体" w:cs="宋体"/>
          <w:color w:val="00000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3726180</wp:posOffset>
            </wp:positionH>
            <wp:positionV relativeFrom="paragraph">
              <wp:posOffset>33655</wp:posOffset>
            </wp:positionV>
            <wp:extent cx="2227580" cy="1491615"/>
            <wp:effectExtent l="0" t="0" r="1270" b="13335"/>
            <wp:wrapSquare wrapText="bothSides"/>
            <wp:docPr id="2" name="图片 39" descr="1669456027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9" descr="166945602759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rPr>
          <w:rFonts w:ascii="宋体" w:hAnsi="宋体" w:cs="宋体"/>
          <w:color w:val="000000"/>
          <w:sz w:val="28"/>
        </w:rPr>
      </w:pPr>
    </w:p>
    <w:p>
      <w:pPr>
        <w:spacing w:line="400" w:lineRule="exact"/>
        <w:rPr>
          <w:rFonts w:hint="eastAsia" w:ascii="宋体" w:hAnsi="宋体" w:cs="宋体"/>
          <w:color w:val="000000"/>
          <w:sz w:val="28"/>
        </w:rPr>
      </w:pPr>
    </w:p>
    <w:p>
      <w:pPr>
        <w:spacing w:line="400" w:lineRule="exact"/>
        <w:jc w:val="center"/>
        <w:rPr>
          <w:rFonts w:hint="eastAsia" w:ascii="宋体" w:hAnsi="宋体" w:cs="宋体"/>
          <w:color w:val="000000"/>
          <w:sz w:val="28"/>
        </w:rPr>
      </w:pPr>
      <w:r>
        <w:rPr>
          <w:rFonts w:ascii="宋体" w:hAnsi="宋体" w:cs="宋体"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4777740</wp:posOffset>
                </wp:positionV>
                <wp:extent cx="666115" cy="334010"/>
                <wp:effectExtent l="7620" t="7620" r="316865" b="210820"/>
                <wp:wrapNone/>
                <wp:docPr id="3" name="圆角矩形标注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15" cy="334010"/>
                        </a:xfrm>
                        <a:prstGeom prst="wedgeRoundRectCallout">
                          <a:avLst>
                            <a:gd name="adj1" fmla="val 87250"/>
                            <a:gd name="adj2" fmla="val 104370"/>
                            <a:gd name="adj3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/>
                            </a:gs>
                          </a:gsLst>
                          <a:lin ang="0"/>
                          <a:tileRect/>
                        </a:gradFill>
                        <a:ln w="15875" cap="flat" cmpd="sng">
                          <a:solidFill>
                            <a:srgbClr val="739CC3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电源柜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5.9pt;margin-top:376.2pt;height:26.3pt;width:52.45pt;z-index:251659264;mso-width-relative:page;mso-height-relative:page;" fillcolor="#FFFFFF" filled="t" stroked="t" coordsize="21600,21600" o:gfxdata="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HP6G2QAAAAoB&#10;AAAPAAAAAAAAAAEAIAAAACIAAABkcnMvZG93bnJldi54bWxQSwECFAAUAAAACACHTuJASbBNtYwC&#10;AABDBQAADgAAAAAAAAABACAAAAAoAQAAZHJzL2Uyb0RvYy54bWxQSwUGAAAAAAYABgBZAQAAJgYA&#10;AAAA&#10;" adj="29646,33344,14400">
                <v:fill type="gradient" on="t" color2="#FFFFFF" angle="90" focus="100%" focussize="0,0">
                  <o:fill type="gradientUnscaled" v:ext="backwardCompatible"/>
                </v:fill>
                <v:stroke weight="1.25pt" color="#739CC3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color w:val="000000"/>
          <w:szCs w:val="22"/>
        </w:rPr>
        <w:t>设备图</w:t>
      </w:r>
      <w:r>
        <w:rPr>
          <w:rFonts w:hint="eastAsia" w:ascii="宋体" w:hAnsi="宋体" w:cs="宋体"/>
          <w:color w:val="000000"/>
        </w:rPr>
        <w:t>片（仅供参考）</w:t>
      </w:r>
    </w:p>
    <w:p>
      <w:pPr>
        <w:pStyle w:val="2"/>
        <w:adjustRightInd w:val="0"/>
        <w:spacing w:line="500" w:lineRule="exact"/>
        <w:ind w:left="200"/>
        <w:textAlignment w:val="baseline"/>
        <w:rPr>
          <w:rFonts w:ascii="宋体" w:hAnsi="宋体" w:cs="宋体"/>
          <w:color w:val="000000"/>
          <w:sz w:val="28"/>
          <w:szCs w:val="28"/>
          <w:lang w:eastAsia="zh-CN"/>
        </w:rPr>
      </w:pPr>
      <w:bookmarkStart w:id="0" w:name="_Toc10317"/>
      <w:r>
        <w:rPr>
          <w:rFonts w:hint="eastAsia" w:ascii="宋体" w:hAnsi="宋体" w:cs="宋体"/>
          <w:color w:val="000000"/>
          <w:sz w:val="28"/>
          <w:szCs w:val="28"/>
          <w:lang w:eastAsia="zh-CN"/>
        </w:rPr>
        <w:t>二、工艺流程</w:t>
      </w:r>
      <w:bookmarkEnd w:id="0"/>
    </w:p>
    <w:p>
      <w:pPr>
        <w:spacing w:line="360" w:lineRule="auto"/>
        <w:ind w:left="540" w:leftChars="257" w:firstLine="540" w:firstLineChars="225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 xml:space="preserve">轨道升降车送夹具组→ 推入夹具组入针床 →启动针床 → 启动负压流程并充电化成 → 化成完成 → 自动开启针床夹具 → 轨道升降车人工退夹具组→ 下一轮夹具组充电化成 </w:t>
      </w:r>
    </w:p>
    <w:p>
      <w:pPr>
        <w:pStyle w:val="3"/>
        <w:adjustRightInd w:val="0"/>
        <w:ind w:left="210"/>
        <w:jc w:val="left"/>
        <w:textAlignment w:val="baseline"/>
        <w:rPr>
          <w:rFonts w:hint="eastAsia" w:ascii="宋体" w:hAnsi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三、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技术参数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适用于铝壳方形电池尺寸：</w:t>
      </w:r>
      <w:r>
        <w:rPr>
          <w:rFonts w:ascii="宋体" w:hAnsi="宋体" w:cs="宋体"/>
          <w:color w:val="000000"/>
          <w:sz w:val="24"/>
          <w:szCs w:val="24"/>
        </w:rPr>
        <w:t>1814865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实际提供电池尺寸为准</w:t>
      </w:r>
      <w:r>
        <w:rPr>
          <w:rFonts w:hint="eastAsia" w:ascii="宋体" w:hAnsi="宋体" w:cs="宋体"/>
          <w:color w:val="000000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color w:val="000000"/>
          <w:sz w:val="24"/>
          <w:szCs w:val="24"/>
        </w:rPr>
        <w:t>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充电电压设定范围：DC 0～5V；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放电电压设定范围：DC 5～</w:t>
      </w:r>
      <w:r>
        <w:rPr>
          <w:rFonts w:ascii="宋体" w:hAnsi="宋体" w:cs="宋体"/>
          <w:color w:val="000000"/>
          <w:sz w:val="24"/>
          <w:szCs w:val="24"/>
        </w:rPr>
        <w:t>2</w:t>
      </w:r>
      <w:r>
        <w:rPr>
          <w:rFonts w:hint="eastAsia" w:ascii="宋体" w:hAnsi="宋体" w:cs="宋体"/>
          <w:color w:val="000000"/>
          <w:sz w:val="24"/>
          <w:szCs w:val="24"/>
        </w:rPr>
        <w:t>V（放电下</w:t>
      </w:r>
      <w:r>
        <w:rPr>
          <w:rFonts w:hint="eastAsia" w:ascii="宋体" w:hAnsi="宋体" w:cs="宋体"/>
          <w:color w:val="000000"/>
          <w:sz w:val="24"/>
          <w:szCs w:val="24"/>
          <w:lang w:val="en-US" w:eastAsia="zh-CN"/>
        </w:rPr>
        <w:t>限</w:t>
      </w:r>
      <w:r>
        <w:rPr>
          <w:rFonts w:hint="eastAsia" w:ascii="宋体" w:hAnsi="宋体" w:cs="宋体"/>
          <w:color w:val="000000"/>
          <w:sz w:val="24"/>
          <w:szCs w:val="24"/>
        </w:rPr>
        <w:t>可调整）；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充放电电流设定范围：DC 0.05～</w:t>
      </w:r>
      <w:r>
        <w:rPr>
          <w:rFonts w:ascii="宋体" w:hAnsi="宋体" w:cs="宋体"/>
          <w:color w:val="000000"/>
          <w:sz w:val="24"/>
          <w:szCs w:val="24"/>
        </w:rPr>
        <w:t>3</w:t>
      </w:r>
      <w:r>
        <w:rPr>
          <w:rFonts w:hint="eastAsia" w:ascii="宋体" w:hAnsi="宋体" w:cs="宋体"/>
          <w:color w:val="000000"/>
          <w:sz w:val="24"/>
          <w:szCs w:val="24"/>
        </w:rPr>
        <w:t>0A；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电压精度：±（0.05%RD+0.05%FS）；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电流精度：±（0.05%RD+0.05%FS）；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电压分辨率：1mV；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电压稳定度：≤0.1%；</w:t>
      </w:r>
    </w:p>
    <w:p>
      <w:pPr>
        <w:numPr>
          <w:ilvl w:val="0"/>
          <w:numId w:val="2"/>
        </w:numPr>
        <w:tabs>
          <w:tab w:val="left" w:pos="900"/>
        </w:tabs>
        <w:spacing w:line="400" w:lineRule="exact"/>
        <w:ind w:firstLine="21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电流分辨率：1mA；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电流稳定度：≤0.1%；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充电节能效率：最高可达80%；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放电回馈效率：最高可达78%；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功率精度：±（0.05%RD+0.05%FS）；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电流响应时间：电流输出在60A时硬件响应时间：≤50ms；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时间设定范围：0～9999分钟内任意设置，时间单位分别为h、min、s任选，分辨率0.1s；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时间精度：≤±0.1%；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记录方式：充电记录时间、放电记录时间、静止记录时间、全局记录时间；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记录频率：100ms～65535s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采样频率：单箱10ms左右；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充电模式：恒流限压；恒流恒压；恒功率充电；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充电截止条件：电压；电流；时间；容量；温度；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 xml:space="preserve">放电模式：恒流、恒功率放电；  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放电截止条件：电压；电流；时间；容量；温度；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 xml:space="preserve">单循环工步数：≤100步，具有嵌套循环功能； 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 xml:space="preserve">连续工作时间：设备功率应满足所有通道能够满负荷，365*24小时不间断运转；   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软件功能：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 xml:space="preserve">软件支持各种续接，如手动暂停续接、软件关闭续接、断电中断续接、设备通信中断续接、异常停止续接；        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支持条码扫描，可对一维码、二维码进行扫描，有顺序扫码、通道跳跃扫码、装盘扫码等扫码方式；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本地测试详细数据存储，可随时查看各通道当前测试数据及历史数据，有数据与曲线对应两种方式对应呈现，并且支持以单个或批量形式导出EXCE报表，另外可根据需要设置测试结束自动导数据。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支持容量分选，可对电池进行等级分选；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支持测试结束合格判断，根据指定循环容量、电压、时间等信息进行判断Pass/NG结果；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支持各种工步保护及全局电压、电流、温度异常保护,并进行异常报警；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支持通道并联（根据设备可选）；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支持单位转换；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支持数据库服务器后台存储或MES对接；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软件脱机保护；</w:t>
      </w:r>
    </w:p>
    <w:p>
      <w:pPr>
        <w:numPr>
          <w:ilvl w:val="0"/>
          <w:numId w:val="3"/>
        </w:numPr>
        <w:tabs>
          <w:tab w:val="left" w:pos="840"/>
        </w:tabs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软件提供免费升级。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保护功能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数据异常恢复；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软件过压、欠压、过流、欠流、过容量保护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电压电流保护值范围可设定，保护后可提示和记录；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设置高位报警灯，提示状态；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设置紧急停止按钮，急停时夹具自动张开；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安装有烟雾报警器，当出现烟雾报警时机器停止运行并报警；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设备报警停机后，可以从中断位置继续未完成的流程，而不需要从头开始流程；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如果下位机与上位机通讯中断，通讯恢复正常后，可按原有流程继续进行工作；</w:t>
      </w:r>
    </w:p>
    <w:p>
      <w:pPr>
        <w:numPr>
          <w:ilvl w:val="0"/>
          <w:numId w:val="4"/>
        </w:numPr>
        <w:spacing w:line="400" w:lineRule="exact"/>
        <w:ind w:firstLine="83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当出现设备异常断电之后，可继续执行当前流程步；</w:t>
      </w:r>
    </w:p>
    <w:p>
      <w:pPr>
        <w:numPr>
          <w:ilvl w:val="0"/>
          <w:numId w:val="4"/>
        </w:numPr>
        <w:spacing w:line="400" w:lineRule="exact"/>
        <w:ind w:left="166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 xml:space="preserve">当出现时间通讯中断或PC机故障时，设备将会自动进行入等待状态，待通讯迅速复位后继续当前流程。 </w:t>
      </w:r>
    </w:p>
    <w:p>
      <w:pPr>
        <w:numPr>
          <w:ilvl w:val="0"/>
          <w:numId w:val="2"/>
        </w:numPr>
        <w:tabs>
          <w:tab w:val="left" w:pos="840"/>
        </w:tabs>
        <w:spacing w:line="400" w:lineRule="exact"/>
        <w:ind w:left="12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真空部分技术参数：</w:t>
      </w:r>
    </w:p>
    <w:p>
      <w:pPr>
        <w:numPr>
          <w:ilvl w:val="0"/>
          <w:numId w:val="5"/>
        </w:numPr>
        <w:tabs>
          <w:tab w:val="left" w:pos="1480"/>
        </w:tabs>
        <w:spacing w:line="400" w:lineRule="exact"/>
        <w:ind w:firstLine="635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达到真空度: -1kPa～-90kPa；</w:t>
      </w:r>
    </w:p>
    <w:p>
      <w:pPr>
        <w:numPr>
          <w:ilvl w:val="0"/>
          <w:numId w:val="5"/>
        </w:numPr>
        <w:tabs>
          <w:tab w:val="left" w:pos="1480"/>
        </w:tabs>
        <w:spacing w:line="400" w:lineRule="exact"/>
        <w:ind w:firstLine="635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真空设定分辨率：±0.01Pa</w:t>
      </w:r>
    </w:p>
    <w:p>
      <w:pPr>
        <w:tabs>
          <w:tab w:val="left" w:pos="1480"/>
        </w:tabs>
        <w:spacing w:line="400" w:lineRule="exac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pStyle w:val="3"/>
        <w:adjustRightInd w:val="0"/>
        <w:ind w:left="210"/>
        <w:jc w:val="left"/>
        <w:textAlignment w:val="baseline"/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四、元器件品牌及备品备件</w:t>
      </w:r>
    </w:p>
    <w:p>
      <w:pPr>
        <w:numPr>
          <w:ilvl w:val="0"/>
          <w:numId w:val="6"/>
        </w:numPr>
        <w:spacing w:line="400" w:lineRule="exact"/>
        <w:ind w:left="10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主要器件配置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2"/>
        <w:gridCol w:w="3420"/>
        <w:gridCol w:w="425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42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品牌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数显真空压力表</w:t>
            </w:r>
          </w:p>
        </w:tc>
        <w:tc>
          <w:tcPr>
            <w:tcW w:w="42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亚德客/SMC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气动元件</w:t>
            </w:r>
          </w:p>
        </w:tc>
        <w:tc>
          <w:tcPr>
            <w:tcW w:w="42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亚德客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hint="eastAsia" w:ascii="宋体" w:hAnsi="宋体" w:cs="宋体"/>
                <w:color w:val="000000"/>
                <w:sz w:val="24"/>
              </w:rPr>
              <w:t>SMC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温控器</w:t>
            </w:r>
          </w:p>
        </w:tc>
        <w:tc>
          <w:tcPr>
            <w:tcW w:w="42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</w:rPr>
              <w:t>欧姆龙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/</w:t>
            </w:r>
            <w:r>
              <w:rPr>
                <w:rFonts w:hint="eastAsia" w:ascii="宋体" w:hAnsi="宋体" w:cs="宋体"/>
                <w:color w:val="000000"/>
                <w:sz w:val="24"/>
              </w:rPr>
              <w:t>松下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测试探针</w:t>
            </w:r>
          </w:p>
        </w:tc>
        <w:tc>
          <w:tcPr>
            <w:tcW w:w="42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定制（铜镀金）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吸盘</w:t>
            </w:r>
          </w:p>
        </w:tc>
        <w:tc>
          <w:tcPr>
            <w:tcW w:w="42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定制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34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PLC</w:t>
            </w:r>
          </w:p>
        </w:tc>
        <w:tc>
          <w:tcPr>
            <w:tcW w:w="425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汇川/信捷/松下</w:t>
            </w:r>
          </w:p>
        </w:tc>
      </w:tr>
    </w:tbl>
    <w:p>
      <w:pPr>
        <w:spacing w:line="400" w:lineRule="exact"/>
        <w:ind w:firstLine="482" w:firstLineChars="200"/>
        <w:rPr>
          <w:rFonts w:hint="eastAsia" w:ascii="宋体" w:hAnsi="宋体" w:cs="宋体"/>
          <w:b/>
          <w:bCs/>
          <w:color w:val="000000"/>
          <w:sz w:val="24"/>
          <w:szCs w:val="24"/>
        </w:rPr>
      </w:pPr>
    </w:p>
    <w:p>
      <w:pPr>
        <w:numPr>
          <w:ilvl w:val="0"/>
          <w:numId w:val="6"/>
        </w:numPr>
        <w:spacing w:line="400" w:lineRule="exact"/>
        <w:ind w:left="1045" w:hanging="40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随机配件</w:t>
      </w:r>
    </w:p>
    <w:tbl>
      <w:tblPr>
        <w:tblStyle w:val="6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2039"/>
        <w:gridCol w:w="2218"/>
        <w:gridCol w:w="1725"/>
        <w:gridCol w:w="1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20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名称</w:t>
            </w:r>
          </w:p>
        </w:tc>
        <w:tc>
          <w:tcPr>
            <w:tcW w:w="22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规格</w:t>
            </w:r>
          </w:p>
        </w:tc>
        <w:tc>
          <w:tcPr>
            <w:tcW w:w="17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17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4"/>
                <w:szCs w:val="24"/>
              </w:rPr>
              <w:t>使用周期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2039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测试探针</w:t>
            </w:r>
          </w:p>
        </w:tc>
        <w:tc>
          <w:tcPr>
            <w:tcW w:w="22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定制</w:t>
            </w:r>
          </w:p>
        </w:tc>
        <w:tc>
          <w:tcPr>
            <w:tcW w:w="172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5个</w:t>
            </w:r>
          </w:p>
        </w:tc>
        <w:tc>
          <w:tcPr>
            <w:tcW w:w="172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>
            <w:pPr>
              <w:widowControl/>
              <w:spacing w:line="400" w:lineRule="exact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4"/>
              </w:rPr>
              <w:t>大于10000次</w:t>
            </w:r>
          </w:p>
        </w:tc>
      </w:tr>
    </w:tbl>
    <w:p>
      <w:pPr>
        <w:numPr>
          <w:ilvl w:val="0"/>
          <w:numId w:val="6"/>
        </w:numPr>
        <w:spacing w:line="400" w:lineRule="exact"/>
        <w:ind w:left="1045" w:hanging="405"/>
        <w:jc w:val="left"/>
        <w:rPr>
          <w:rFonts w:ascii="宋体" w:hAnsi="宋体" w:cs="宋体"/>
          <w:color w:val="000000"/>
          <w:sz w:val="24"/>
          <w:szCs w:val="24"/>
        </w:rPr>
      </w:pPr>
      <w:bookmarkStart w:id="1" w:name="_Toc25108"/>
      <w:r>
        <w:rPr>
          <w:rFonts w:hint="eastAsia" w:ascii="宋体" w:hAnsi="宋体" w:cs="宋体"/>
          <w:color w:val="000000"/>
          <w:sz w:val="24"/>
          <w:szCs w:val="24"/>
        </w:rPr>
        <w:t>其他配置要求：</w:t>
      </w:r>
    </w:p>
    <w:p>
      <w:pPr>
        <w:ind w:firstLine="1260" w:firstLineChars="600"/>
        <w:rPr>
          <w:color w:val="000000"/>
        </w:rPr>
      </w:pPr>
      <w:r>
        <w:rPr>
          <w:rFonts w:hint="eastAsia"/>
          <w:color w:val="000000"/>
        </w:rPr>
        <w:t>含电源柜，一套真空泵带（负压防腐过滤器，带缓存罐），</w:t>
      </w:r>
    </w:p>
    <w:p>
      <w:pPr>
        <w:ind w:firstLine="1260" w:firstLineChars="600"/>
        <w:rPr>
          <w:rFonts w:hint="eastAsia"/>
          <w:color w:val="000000"/>
        </w:rPr>
      </w:pPr>
      <w:r>
        <w:rPr>
          <w:rFonts w:hint="eastAsia"/>
          <w:color w:val="000000"/>
        </w:rPr>
        <w:t>一台堆高升降车（一车可以配十台机），</w:t>
      </w:r>
    </w:p>
    <w:p>
      <w:pPr>
        <w:ind w:firstLine="1260" w:firstLineChars="600"/>
        <w:rPr>
          <w:rFonts w:hint="eastAsia"/>
          <w:color w:val="000000"/>
        </w:rPr>
      </w:pPr>
      <w:r>
        <w:rPr>
          <w:rFonts w:hint="eastAsia"/>
          <w:color w:val="000000"/>
        </w:rPr>
        <w:t>一套托盘架（设备上</w:t>
      </w:r>
      <w:r>
        <w:rPr>
          <w:color w:val="000000"/>
        </w:rPr>
        <w:t>2</w:t>
      </w:r>
      <w:r>
        <w:rPr>
          <w:rFonts w:hint="eastAsia"/>
          <w:color w:val="000000"/>
        </w:rPr>
        <w:t>个，备用</w:t>
      </w:r>
      <w:r>
        <w:rPr>
          <w:color w:val="000000"/>
        </w:rPr>
        <w:t>2</w:t>
      </w:r>
      <w:r>
        <w:rPr>
          <w:rFonts w:hint="eastAsia"/>
          <w:color w:val="000000"/>
        </w:rPr>
        <w:t>个，一出</w:t>
      </w:r>
      <w:r>
        <w:rPr>
          <w:color w:val="000000"/>
        </w:rPr>
        <w:t>16</w:t>
      </w:r>
      <w:r>
        <w:rPr>
          <w:rFonts w:hint="eastAsia"/>
          <w:color w:val="000000"/>
        </w:rPr>
        <w:t xml:space="preserve">，抽屉组合式）； </w:t>
      </w:r>
    </w:p>
    <w:p>
      <w:pPr>
        <w:pStyle w:val="3"/>
        <w:adjustRightInd w:val="0"/>
        <w:ind w:left="210"/>
        <w:jc w:val="left"/>
        <w:textAlignment w:val="baseline"/>
        <w:rPr>
          <w:rFonts w:hint="eastAsia" w:ascii="宋体" w:hAnsi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主要部件配置</w:t>
      </w:r>
      <w:bookmarkEnd w:id="1"/>
    </w:p>
    <w:p>
      <w:pPr>
        <w:numPr>
          <w:ilvl w:val="0"/>
          <w:numId w:val="7"/>
        </w:numPr>
        <w:spacing w:line="400" w:lineRule="exact"/>
        <w:ind w:left="645" w:hanging="22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夹具结构图示意图</w:t>
      </w:r>
    </w:p>
    <w:p>
      <w:pPr>
        <w:spacing w:line="360" w:lineRule="auto"/>
        <w:rPr>
          <w:rFonts w:hint="eastAsia" w:ascii="宋体" w:hAnsi="宋体" w:cs="宋体"/>
          <w:color w:val="000000"/>
        </w:rPr>
      </w:pPr>
      <w:r>
        <w:rPr>
          <w:rFonts w:ascii="宋体" w:hAnsi="宋体"/>
          <w:color w:val="000000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2611755</wp:posOffset>
            </wp:positionH>
            <wp:positionV relativeFrom="paragraph">
              <wp:posOffset>560705</wp:posOffset>
            </wp:positionV>
            <wp:extent cx="2630170" cy="1341755"/>
            <wp:effectExtent l="0" t="0" r="17780" b="10795"/>
            <wp:wrapNone/>
            <wp:docPr id="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017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558800</wp:posOffset>
            </wp:positionH>
            <wp:positionV relativeFrom="paragraph">
              <wp:posOffset>129540</wp:posOffset>
            </wp:positionV>
            <wp:extent cx="1569085" cy="2160270"/>
            <wp:effectExtent l="0" t="0" r="12065" b="11430"/>
            <wp:wrapTopAndBottom/>
            <wp:docPr id="8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90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7"/>
        </w:numPr>
        <w:spacing w:line="400" w:lineRule="exact"/>
        <w:ind w:left="645" w:hanging="22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大电流探针结构图示意图</w:t>
      </w: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  <w:r>
        <w:rPr>
          <w:rFonts w:hint="eastAsia" w:ascii="宋体" w:hAnsi="宋体"/>
          <w:color w:val="00000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3683000</wp:posOffset>
            </wp:positionH>
            <wp:positionV relativeFrom="paragraph">
              <wp:posOffset>113665</wp:posOffset>
            </wp:positionV>
            <wp:extent cx="2345690" cy="1656080"/>
            <wp:effectExtent l="0" t="0" r="16510" b="1270"/>
            <wp:wrapNone/>
            <wp:docPr id="4" name="图片 33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3" descr="2222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45690" cy="165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color w:val="000000"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795655</wp:posOffset>
            </wp:positionH>
            <wp:positionV relativeFrom="paragraph">
              <wp:posOffset>46355</wp:posOffset>
            </wp:positionV>
            <wp:extent cx="2418715" cy="1800225"/>
            <wp:effectExtent l="0" t="0" r="635" b="9525"/>
            <wp:wrapNone/>
            <wp:docPr id="9" name="图片 34" descr="d1a78a5914d0c67ba8fae3948066b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4" descr="d1a78a5914d0c67ba8fae3948066b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87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rPr>
          <w:rFonts w:hint="eastAsia" w:ascii="宋体" w:hAnsi="宋体" w:cs="宋体"/>
          <w:color w:val="000000"/>
        </w:rPr>
      </w:pP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400" w:lineRule="exact"/>
        <w:ind w:left="420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numPr>
          <w:ilvl w:val="0"/>
          <w:numId w:val="7"/>
        </w:numPr>
        <w:spacing w:line="400" w:lineRule="exact"/>
        <w:ind w:left="645" w:hanging="22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 w:cs="宋体"/>
          <w:color w:val="000000"/>
          <w:sz w:val="24"/>
          <w:szCs w:val="24"/>
        </w:rPr>
        <w:t>负压吸盘结构图示意图</w:t>
      </w: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  <w:r>
        <w:rPr>
          <w:rFonts w:hint="eastAsia" w:ascii="宋体" w:hAnsi="宋体" w:cs="宋体"/>
          <w:color w:val="000000"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46355</wp:posOffset>
            </wp:positionV>
            <wp:extent cx="2964815" cy="2084705"/>
            <wp:effectExtent l="0" t="0" r="6985" b="10795"/>
            <wp:wrapNone/>
            <wp:docPr id="10" name="图片 35" descr="be520d9f9ac4c6f269459ad60c0c5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5" descr="be520d9f9ac4c6f269459ad60c0c5f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4815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jc w:val="center"/>
        <w:rPr>
          <w:rFonts w:hint="eastAsia" w:ascii="宋体" w:hAnsi="宋体" w:cs="宋体"/>
          <w:color w:val="000000"/>
        </w:rPr>
      </w:pPr>
    </w:p>
    <w:p>
      <w:pPr>
        <w:spacing w:line="360" w:lineRule="auto"/>
        <w:rPr>
          <w:rFonts w:ascii="宋体" w:hAnsi="宋体" w:cs="宋体"/>
          <w:color w:val="000000"/>
        </w:rPr>
      </w:pPr>
    </w:p>
    <w:p>
      <w:pPr>
        <w:spacing w:line="360" w:lineRule="auto"/>
        <w:rPr>
          <w:rFonts w:ascii="宋体" w:hAnsi="宋体" w:cs="宋体"/>
          <w:color w:val="000000"/>
        </w:rPr>
      </w:pPr>
    </w:p>
    <w:p>
      <w:pPr>
        <w:spacing w:line="360" w:lineRule="auto"/>
        <w:rPr>
          <w:rFonts w:hint="eastAsia" w:ascii="宋体" w:hAnsi="宋体" w:cs="宋体"/>
          <w:color w:val="000000"/>
        </w:rPr>
      </w:pPr>
    </w:p>
    <w:p>
      <w:pPr>
        <w:numPr>
          <w:ilvl w:val="0"/>
          <w:numId w:val="7"/>
        </w:numPr>
        <w:spacing w:line="400" w:lineRule="exact"/>
        <w:ind w:left="645" w:hanging="225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hint="eastAsia" w:ascii="宋体" w:hAnsi="宋体"/>
          <w:color w:val="000000"/>
          <w:szCs w:val="21"/>
        </w:rPr>
        <w:t>负压杯（整体结构采用特殊处理材料耐腐蚀,耐高温，负压管路采用柔性P</w:t>
      </w:r>
      <w:r>
        <w:rPr>
          <w:rFonts w:ascii="宋体" w:hAnsi="宋体"/>
          <w:color w:val="000000"/>
          <w:szCs w:val="21"/>
        </w:rPr>
        <w:t>TFE</w:t>
      </w:r>
      <w:r>
        <w:rPr>
          <w:rFonts w:hint="eastAsia" w:ascii="宋体" w:hAnsi="宋体"/>
          <w:color w:val="000000"/>
          <w:szCs w:val="21"/>
        </w:rPr>
        <w:t>耐腐蚀材料）</w:t>
      </w: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  <w:r>
        <w:rPr>
          <w:rFonts w:ascii="宋体" w:hAnsi="宋体"/>
          <w:color w:val="00000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675005</wp:posOffset>
            </wp:positionH>
            <wp:positionV relativeFrom="paragraph">
              <wp:posOffset>219075</wp:posOffset>
            </wp:positionV>
            <wp:extent cx="3190875" cy="1807210"/>
            <wp:effectExtent l="0" t="0" r="9525" b="2540"/>
            <wp:wrapNone/>
            <wp:docPr id="6" name="图片 36" descr="606756590594434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6" descr="606756590594434686"/>
                    <pic:cNvPicPr>
                      <a:picLocks noChangeAspect="1"/>
                    </pic:cNvPicPr>
                  </pic:nvPicPr>
                  <pic:blipFill>
                    <a:blip r:embed="rId12"/>
                    <a:srcRect l="2466" t="35454" r="35791" b="39786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119380</wp:posOffset>
            </wp:positionV>
            <wp:extent cx="1262380" cy="2208530"/>
            <wp:effectExtent l="0" t="0" r="13970" b="1270"/>
            <wp:wrapNone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220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400" w:lineRule="exact"/>
        <w:jc w:val="left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360" w:lineRule="auto"/>
        <w:rPr>
          <w:rFonts w:hint="eastAsia" w:ascii="宋体" w:hAnsi="宋体" w:cs="宋体"/>
          <w:color w:val="000000"/>
        </w:rPr>
      </w:pPr>
    </w:p>
    <w:p>
      <w:pPr>
        <w:spacing w:line="360" w:lineRule="auto"/>
        <w:rPr>
          <w:rFonts w:hint="eastAsia" w:ascii="宋体" w:hAnsi="宋体" w:cs="宋体"/>
          <w:color w:val="000000"/>
        </w:rPr>
      </w:pPr>
    </w:p>
    <w:p>
      <w:pPr>
        <w:spacing w:line="360" w:lineRule="auto"/>
        <w:rPr>
          <w:rFonts w:hint="eastAsia" w:ascii="宋体" w:hAnsi="宋体" w:cs="宋体"/>
          <w:color w:val="000000"/>
        </w:rPr>
      </w:pPr>
    </w:p>
    <w:p>
      <w:pPr>
        <w:spacing w:line="360" w:lineRule="auto"/>
        <w:rPr>
          <w:rFonts w:hint="eastAsia" w:ascii="宋体" w:hAnsi="宋体" w:cs="宋体"/>
          <w:color w:val="000000"/>
          <w:sz w:val="24"/>
          <w:szCs w:val="24"/>
        </w:rPr>
      </w:pPr>
    </w:p>
    <w:p>
      <w:pPr>
        <w:spacing w:line="360" w:lineRule="auto"/>
        <w:ind w:left="480"/>
        <w:rPr>
          <w:rFonts w:hint="eastAsia" w:ascii="宋体" w:hAnsi="宋体" w:cs="宋体"/>
          <w:color w:val="000000"/>
          <w:sz w:val="24"/>
          <w:szCs w:val="24"/>
        </w:rPr>
      </w:pPr>
    </w:p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rush Script MT">
    <w:panose1 w:val="03060802040406070304"/>
    <w:charset w:val="00"/>
    <w:family w:val="script"/>
    <w:pitch w:val="default"/>
    <w:sig w:usb0="00000003" w:usb1="00000000" w:usb2="00000000" w:usb3="00000000" w:csb0="2000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single" w:color="auto" w:sz="4" w:space="1"/>
      </w:pBdr>
      <w:jc w:val="right"/>
    </w:pPr>
    <w:r>
      <w:rPr>
        <w:rFonts w:hint="eastAsia" w:eastAsia="宋体"/>
        <w:color w:val="0000FF"/>
        <w:sz w:val="32"/>
        <w:szCs w:val="32"/>
        <w:lang w:val="en-US" w:eastAsia="zh-CN"/>
      </w:rPr>
      <w:drawing>
        <wp:inline distT="0" distB="0" distL="114300" distR="114300">
          <wp:extent cx="1369060" cy="356870"/>
          <wp:effectExtent l="0" t="0" r="2540" b="5080"/>
          <wp:docPr id="1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9060" cy="3568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285FF3"/>
    <w:multiLevelType w:val="singleLevel"/>
    <w:tmpl w:val="B0285FF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2EC68CF"/>
    <w:multiLevelType w:val="singleLevel"/>
    <w:tmpl w:val="02EC68CF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141A2A77"/>
    <w:multiLevelType w:val="singleLevel"/>
    <w:tmpl w:val="141A2A7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>
    <w:nsid w:val="151432C7"/>
    <w:multiLevelType w:val="singleLevel"/>
    <w:tmpl w:val="151432C7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4">
    <w:nsid w:val="269C9D90"/>
    <w:multiLevelType w:val="singleLevel"/>
    <w:tmpl w:val="269C9D90"/>
    <w:lvl w:ilvl="0" w:tentative="0">
      <w:start w:val="1"/>
      <w:numFmt w:val="decimal"/>
      <w:lvlText w:val="%1."/>
      <w:lvlJc w:val="left"/>
      <w:pPr>
        <w:ind w:left="625" w:hanging="425"/>
      </w:pPr>
      <w:rPr>
        <w:rFonts w:hint="default"/>
      </w:rPr>
    </w:lvl>
  </w:abstractNum>
  <w:abstractNum w:abstractNumId="5">
    <w:nsid w:val="28CEA024"/>
    <w:multiLevelType w:val="singleLevel"/>
    <w:tmpl w:val="28CEA02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446FE2CD"/>
    <w:multiLevelType w:val="singleLevel"/>
    <w:tmpl w:val="446FE2CD"/>
    <w:lvl w:ilvl="0" w:tentative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A4ZGNhNTBhZGVkNWEyYTVlYzdjYzk5NmI3ZWFiMmUifQ=="/>
  </w:docVars>
  <w:rsids>
    <w:rsidRoot w:val="00000000"/>
    <w:rsid w:val="45AB20DA"/>
    <w:rsid w:val="48BE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widowControl/>
      <w:jc w:val="left"/>
      <w:outlineLvl w:val="0"/>
    </w:pPr>
    <w:rPr>
      <w:rFonts w:ascii="Brush Script MT" w:hAnsi="Brush Script MT" w:eastAsia="宋体"/>
      <w:b/>
      <w:kern w:val="0"/>
      <w:sz w:val="32"/>
      <w:lang w:eastAsia="en-US"/>
    </w:rPr>
  </w:style>
  <w:style w:type="paragraph" w:styleId="3">
    <w:name w:val="heading 3"/>
    <w:basedOn w:val="1"/>
    <w:next w:val="1"/>
    <w:qFormat/>
    <w:uiPriority w:val="0"/>
    <w:pPr>
      <w:keepNext/>
      <w:widowControl/>
      <w:jc w:val="right"/>
      <w:outlineLvl w:val="2"/>
    </w:pPr>
    <w:rPr>
      <w:rFonts w:ascii="Book Antiqua" w:hAnsi="Book Antiqua" w:eastAsia="宋体"/>
      <w:kern w:val="0"/>
      <w:sz w:val="24"/>
      <w:lang w:eastAsia="en-US"/>
    </w:rPr>
  </w:style>
  <w:style w:type="character" w:default="1" w:styleId="8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1549</Words>
  <Characters>1728</Characters>
  <Lines>0</Lines>
  <Paragraphs>0</Paragraphs>
  <TotalTime>0</TotalTime>
  <ScaleCrop>false</ScaleCrop>
  <LinksUpToDate>false</LinksUpToDate>
  <CharactersWithSpaces>1767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GIGA</dc:creator>
  <cp:lastModifiedBy>何佳迅</cp:lastModifiedBy>
  <dcterms:modified xsi:type="dcterms:W3CDTF">2023-07-01T08:14:11Z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06F49C4998534C79B8EA36916C7CD7F9_12</vt:lpwstr>
  </property>
</Properties>
</file>